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641E" w14:textId="77777777" w:rsidR="00440DDA" w:rsidRDefault="00440DDA">
      <w:pPr>
        <w:spacing w:before="6"/>
        <w:rPr>
          <w:rFonts w:ascii="Times New Roman" w:eastAsia="Times New Roman" w:hAnsi="Times New Roman" w:cs="Times New Roman"/>
          <w:sz w:val="7"/>
          <w:szCs w:val="7"/>
        </w:rPr>
      </w:pPr>
    </w:p>
    <w:p w14:paraId="57139BE1" w14:textId="77777777" w:rsidR="00440DDA" w:rsidRDefault="004073E3">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9227EFE" wp14:editId="1B6EC7F1">
            <wp:extent cx="1513332" cy="457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13332" cy="457200"/>
                    </a:xfrm>
                    <a:prstGeom prst="rect">
                      <a:avLst/>
                    </a:prstGeom>
                  </pic:spPr>
                </pic:pic>
              </a:graphicData>
            </a:graphic>
          </wp:inline>
        </w:drawing>
      </w:r>
    </w:p>
    <w:p w14:paraId="264FDD6F" w14:textId="421E0089" w:rsidR="00440DDA" w:rsidRPr="00B4523E" w:rsidRDefault="00B4523E" w:rsidP="00B4523E">
      <w:pPr>
        <w:tabs>
          <w:tab w:val="left" w:pos="1461"/>
          <w:tab w:val="left" w:pos="1792"/>
          <w:tab w:val="left" w:pos="2138"/>
          <w:tab w:val="left" w:pos="2577"/>
          <w:tab w:val="left" w:pos="2995"/>
          <w:tab w:val="left" w:pos="3319"/>
          <w:tab w:val="left" w:pos="3751"/>
          <w:tab w:val="left" w:pos="4370"/>
          <w:tab w:val="left" w:pos="4831"/>
          <w:tab w:val="left" w:pos="5407"/>
          <w:tab w:val="left" w:pos="5839"/>
          <w:tab w:val="left" w:pos="6292"/>
          <w:tab w:val="left" w:pos="6674"/>
          <w:tab w:val="left" w:pos="7120"/>
          <w:tab w:val="left" w:pos="7624"/>
          <w:tab w:val="left" w:pos="8042"/>
          <w:tab w:val="left" w:pos="8344"/>
          <w:tab w:val="left" w:pos="8963"/>
          <w:tab w:val="left" w:pos="9338"/>
          <w:tab w:val="left" w:pos="9770"/>
        </w:tabs>
        <w:spacing w:before="64"/>
        <w:ind w:left="1015"/>
        <w:rPr>
          <w:rFonts w:ascii="Aharoni" w:hAnsi="Aharoni" w:cs="Aharoni"/>
          <w:b/>
          <w:bCs/>
          <w:smallCaps/>
          <w:color w:val="3B3B3B"/>
          <w:w w:val="105"/>
          <w:position w:val="1"/>
          <w:sz w:val="28"/>
          <w:szCs w:val="28"/>
        </w:rPr>
      </w:pPr>
      <w:r w:rsidRPr="00B4523E">
        <w:rPr>
          <w:rFonts w:ascii="Aharoni" w:hAnsi="Aharoni" w:cs="Aharoni"/>
          <w:b/>
          <w:bCs/>
          <w:smallCaps/>
          <w:color w:val="262626"/>
          <w:w w:val="130"/>
          <w:sz w:val="28"/>
          <w:szCs w:val="28"/>
        </w:rPr>
        <w:t>D</w:t>
      </w:r>
      <w:r w:rsidRPr="00B4523E">
        <w:rPr>
          <w:rFonts w:ascii="Aharoni" w:hAnsi="Aharoni" w:cs="Aharoni"/>
          <w:b/>
          <w:bCs/>
          <w:smallCaps/>
          <w:color w:val="262626"/>
          <w:w w:val="110"/>
          <w:sz w:val="28"/>
          <w:szCs w:val="28"/>
        </w:rPr>
        <w:t>i</w:t>
      </w:r>
      <w:r w:rsidRPr="00B4523E">
        <w:rPr>
          <w:rFonts w:ascii="Aharoni" w:hAnsi="Aharoni" w:cs="Aharoni"/>
          <w:b/>
          <w:bCs/>
          <w:smallCaps/>
          <w:color w:val="262626"/>
          <w:w w:val="105"/>
          <w:sz w:val="28"/>
          <w:szCs w:val="28"/>
        </w:rPr>
        <w:t>s</w:t>
      </w:r>
      <w:r w:rsidRPr="00B4523E">
        <w:rPr>
          <w:rFonts w:ascii="Aharoni" w:hAnsi="Aharoni" w:cs="Aharoni"/>
          <w:b/>
          <w:bCs/>
          <w:smallCaps/>
          <w:color w:val="262626"/>
          <w:w w:val="140"/>
          <w:sz w:val="28"/>
          <w:szCs w:val="28"/>
        </w:rPr>
        <w:t>t</w:t>
      </w:r>
      <w:r w:rsidRPr="00B4523E">
        <w:rPr>
          <w:rFonts w:ascii="Aharoni" w:hAnsi="Aharoni" w:cs="Aharoni"/>
          <w:b/>
          <w:bCs/>
          <w:smallCaps/>
          <w:color w:val="262626"/>
          <w:w w:val="110"/>
          <w:sz w:val="28"/>
          <w:szCs w:val="28"/>
        </w:rPr>
        <w:t>ri</w:t>
      </w:r>
      <w:r w:rsidRPr="00B4523E">
        <w:rPr>
          <w:rFonts w:ascii="Aharoni" w:hAnsi="Aharoni" w:cs="Aharoni"/>
          <w:b/>
          <w:bCs/>
          <w:smallCaps/>
          <w:color w:val="4B4B4B"/>
          <w:w w:val="135"/>
          <w:sz w:val="28"/>
          <w:szCs w:val="28"/>
        </w:rPr>
        <w:t xml:space="preserve">ct </w:t>
      </w:r>
      <w:r>
        <w:rPr>
          <w:rFonts w:ascii="Aharoni" w:hAnsi="Aharoni" w:cs="Aharoni"/>
          <w:b/>
          <w:bCs/>
          <w:smallCaps/>
          <w:color w:val="4B4B4B"/>
          <w:w w:val="135"/>
          <w:sz w:val="28"/>
          <w:szCs w:val="28"/>
        </w:rPr>
        <w:t>o</w:t>
      </w:r>
      <w:r w:rsidRPr="00B4523E">
        <w:rPr>
          <w:rFonts w:ascii="Aharoni" w:hAnsi="Aharoni" w:cs="Aharoni"/>
          <w:b/>
          <w:bCs/>
          <w:smallCaps/>
          <w:color w:val="4B4B4B"/>
          <w:w w:val="135"/>
          <w:sz w:val="28"/>
          <w:szCs w:val="28"/>
        </w:rPr>
        <w:t xml:space="preserve">f </w:t>
      </w:r>
      <w:r w:rsidRPr="00B4523E">
        <w:rPr>
          <w:rFonts w:ascii="Aharoni" w:hAnsi="Aharoni" w:cs="Aharoni"/>
          <w:b/>
          <w:bCs/>
          <w:smallCaps/>
          <w:color w:val="3B3B3B"/>
          <w:w w:val="135"/>
          <w:position w:val="1"/>
          <w:sz w:val="28"/>
          <w:szCs w:val="28"/>
        </w:rPr>
        <w:t>Co</w:t>
      </w:r>
      <w:r w:rsidRPr="00B4523E">
        <w:rPr>
          <w:rFonts w:ascii="Aharoni" w:hAnsi="Aharoni" w:cs="Aharoni"/>
          <w:b/>
          <w:bCs/>
          <w:smallCaps/>
          <w:color w:val="3B3B3B"/>
          <w:w w:val="115"/>
          <w:position w:val="1"/>
          <w:sz w:val="28"/>
          <w:szCs w:val="28"/>
        </w:rPr>
        <w:t>l</w:t>
      </w:r>
      <w:r w:rsidRPr="00B4523E">
        <w:rPr>
          <w:rFonts w:ascii="Aharoni" w:hAnsi="Aharoni" w:cs="Aharoni"/>
          <w:b/>
          <w:bCs/>
          <w:smallCaps/>
          <w:color w:val="3B3B3B"/>
          <w:w w:val="125"/>
          <w:position w:val="1"/>
          <w:sz w:val="28"/>
          <w:szCs w:val="28"/>
        </w:rPr>
        <w:t>um</w:t>
      </w:r>
      <w:r w:rsidRPr="00B4523E">
        <w:rPr>
          <w:rFonts w:ascii="Aharoni" w:hAnsi="Aharoni" w:cs="Aharoni"/>
          <w:b/>
          <w:bCs/>
          <w:smallCaps/>
          <w:color w:val="3B3B3B"/>
          <w:w w:val="110"/>
          <w:position w:val="1"/>
          <w:sz w:val="28"/>
          <w:szCs w:val="28"/>
        </w:rPr>
        <w:t>bia Bar</w:t>
      </w:r>
    </w:p>
    <w:p w14:paraId="60EEA4DE" w14:textId="01B87EA6" w:rsidR="00440DDA" w:rsidRPr="00B4523E" w:rsidRDefault="00B4523E">
      <w:pPr>
        <w:pBdr>
          <w:bottom w:val="single" w:sz="12" w:space="1" w:color="auto"/>
        </w:pBdr>
        <w:tabs>
          <w:tab w:val="left" w:pos="2887"/>
        </w:tabs>
        <w:spacing w:before="81"/>
        <w:ind w:left="1015"/>
        <w:rPr>
          <w:rFonts w:ascii="Aharoni" w:eastAsia="Times New Roman" w:hAnsi="Aharoni" w:cs="Aharoni"/>
          <w:sz w:val="24"/>
          <w:szCs w:val="24"/>
        </w:rPr>
      </w:pPr>
      <w:r w:rsidRPr="00B4523E">
        <w:rPr>
          <w:rFonts w:ascii="Aharoni" w:hAnsi="Aharoni" w:cs="Aharoni" w:hint="cs"/>
          <w:i/>
          <w:color w:val="AF384B"/>
          <w:w w:val="115"/>
          <w:sz w:val="24"/>
          <w:szCs w:val="24"/>
        </w:rPr>
        <w:t>Real Estate, Housing and Land Use</w:t>
      </w:r>
      <w:r w:rsidR="00A91700" w:rsidRPr="00B4523E">
        <w:rPr>
          <w:rFonts w:ascii="Aharoni" w:hAnsi="Aharoni" w:cs="Aharoni" w:hint="cs"/>
          <w:i/>
          <w:color w:val="AF384B"/>
          <w:w w:val="115"/>
          <w:sz w:val="24"/>
          <w:szCs w:val="24"/>
        </w:rPr>
        <w:t xml:space="preserve"> </w:t>
      </w:r>
      <w:r w:rsidR="001C42F2" w:rsidRPr="00B4523E">
        <w:rPr>
          <w:rFonts w:ascii="Aharoni" w:hAnsi="Aharoni" w:cs="Aharoni" w:hint="cs"/>
          <w:i/>
          <w:color w:val="AF384B"/>
          <w:w w:val="115"/>
          <w:sz w:val="24"/>
          <w:szCs w:val="24"/>
        </w:rPr>
        <w:t>Community</w:t>
      </w:r>
      <w:r w:rsidR="00A91700" w:rsidRPr="00B4523E">
        <w:rPr>
          <w:rFonts w:ascii="Aharoni" w:hAnsi="Aharoni" w:cs="Aharoni" w:hint="cs"/>
          <w:i/>
          <w:color w:val="AF384B"/>
          <w:w w:val="115"/>
          <w:sz w:val="24"/>
          <w:szCs w:val="24"/>
        </w:rPr>
        <w:t xml:space="preserve"> </w:t>
      </w:r>
    </w:p>
    <w:p w14:paraId="7C661690" w14:textId="0C73928C" w:rsidR="00B4523E" w:rsidRPr="00B4523E" w:rsidRDefault="004073E3" w:rsidP="00B4523E">
      <w:pPr>
        <w:pStyle w:val="BodyText"/>
        <w:spacing w:before="177" w:line="254" w:lineRule="auto"/>
        <w:ind w:left="525" w:right="1295" w:hanging="18"/>
        <w:jc w:val="center"/>
        <w:rPr>
          <w:rFonts w:ascii="Book Antiqua" w:hAnsi="Book Antiqua" w:cs="Times New Roman"/>
          <w:b/>
          <w:bCs/>
          <w:color w:val="262626"/>
          <w:spacing w:val="-9"/>
          <w:w w:val="110"/>
          <w:sz w:val="24"/>
          <w:szCs w:val="24"/>
        </w:rPr>
      </w:pPr>
      <w:r w:rsidRPr="00B4523E">
        <w:rPr>
          <w:rFonts w:ascii="Book Antiqua" w:hAnsi="Book Antiqua" w:cs="Times New Roman"/>
          <w:b/>
          <w:bCs/>
          <w:color w:val="262626"/>
          <w:w w:val="110"/>
          <w:sz w:val="24"/>
          <w:szCs w:val="24"/>
        </w:rPr>
        <w:t>Statement</w:t>
      </w:r>
      <w:r w:rsidRPr="00B4523E">
        <w:rPr>
          <w:rFonts w:ascii="Book Antiqua" w:hAnsi="Book Antiqua" w:cs="Times New Roman"/>
          <w:b/>
          <w:bCs/>
          <w:color w:val="262626"/>
          <w:spacing w:val="-20"/>
          <w:w w:val="110"/>
          <w:sz w:val="24"/>
          <w:szCs w:val="24"/>
        </w:rPr>
        <w:t xml:space="preserve"> </w:t>
      </w:r>
      <w:r w:rsidRPr="00B4523E">
        <w:rPr>
          <w:rFonts w:ascii="Book Antiqua" w:hAnsi="Book Antiqua" w:cs="Times New Roman"/>
          <w:b/>
          <w:bCs/>
          <w:color w:val="262626"/>
          <w:w w:val="110"/>
          <w:sz w:val="24"/>
          <w:szCs w:val="24"/>
        </w:rPr>
        <w:t>of</w:t>
      </w:r>
      <w:r w:rsidRPr="00B4523E">
        <w:rPr>
          <w:rFonts w:ascii="Book Antiqua" w:hAnsi="Book Antiqua" w:cs="Times New Roman"/>
          <w:b/>
          <w:bCs/>
          <w:color w:val="262626"/>
          <w:spacing w:val="-17"/>
          <w:w w:val="110"/>
          <w:sz w:val="24"/>
          <w:szCs w:val="24"/>
        </w:rPr>
        <w:t xml:space="preserve"> </w:t>
      </w:r>
      <w:r w:rsidRPr="00B4523E">
        <w:rPr>
          <w:rFonts w:ascii="Book Antiqua" w:hAnsi="Book Antiqua" w:cs="Times New Roman"/>
          <w:b/>
          <w:bCs/>
          <w:color w:val="262626"/>
          <w:w w:val="110"/>
          <w:sz w:val="24"/>
          <w:szCs w:val="24"/>
        </w:rPr>
        <w:t>the</w:t>
      </w:r>
      <w:r w:rsidRPr="00B4523E">
        <w:rPr>
          <w:rFonts w:ascii="Book Antiqua" w:hAnsi="Book Antiqua" w:cs="Times New Roman"/>
          <w:b/>
          <w:bCs/>
          <w:color w:val="262626"/>
          <w:spacing w:val="-14"/>
          <w:w w:val="110"/>
          <w:sz w:val="24"/>
          <w:szCs w:val="24"/>
        </w:rPr>
        <w:t xml:space="preserve"> </w:t>
      </w:r>
      <w:r w:rsidR="00B4523E" w:rsidRPr="00B4523E">
        <w:rPr>
          <w:rFonts w:ascii="Book Antiqua" w:hAnsi="Book Antiqua" w:cs="Times New Roman"/>
          <w:b/>
          <w:bCs/>
          <w:color w:val="262626"/>
          <w:w w:val="110"/>
          <w:sz w:val="24"/>
          <w:szCs w:val="24"/>
        </w:rPr>
        <w:t xml:space="preserve">Real Estate, Housing and Land Use </w:t>
      </w:r>
      <w:r w:rsidR="001C42F2" w:rsidRPr="00B4523E">
        <w:rPr>
          <w:rFonts w:ascii="Book Antiqua" w:hAnsi="Book Antiqua" w:cs="Times New Roman"/>
          <w:b/>
          <w:bCs/>
          <w:color w:val="262626"/>
          <w:spacing w:val="-9"/>
          <w:w w:val="110"/>
          <w:sz w:val="24"/>
          <w:szCs w:val="24"/>
        </w:rPr>
        <w:t>Community</w:t>
      </w:r>
      <w:r w:rsidR="005B6206" w:rsidRPr="00B4523E">
        <w:rPr>
          <w:rFonts w:ascii="Book Antiqua" w:hAnsi="Book Antiqua" w:cs="Times New Roman"/>
          <w:b/>
          <w:bCs/>
          <w:color w:val="262626"/>
          <w:spacing w:val="-9"/>
          <w:w w:val="110"/>
          <w:sz w:val="24"/>
          <w:szCs w:val="24"/>
        </w:rPr>
        <w:t xml:space="preserve"> </w:t>
      </w:r>
      <w:r w:rsidRPr="00B4523E">
        <w:rPr>
          <w:rFonts w:ascii="Book Antiqua" w:hAnsi="Book Antiqua" w:cs="Times New Roman"/>
          <w:b/>
          <w:bCs/>
          <w:color w:val="262626"/>
          <w:w w:val="110"/>
          <w:sz w:val="24"/>
          <w:szCs w:val="24"/>
        </w:rPr>
        <w:t>of</w:t>
      </w:r>
      <w:r w:rsidRPr="00B4523E">
        <w:rPr>
          <w:rFonts w:ascii="Book Antiqua" w:hAnsi="Book Antiqua" w:cs="Times New Roman"/>
          <w:b/>
          <w:bCs/>
          <w:color w:val="262626"/>
          <w:spacing w:val="-13"/>
          <w:w w:val="110"/>
          <w:sz w:val="24"/>
          <w:szCs w:val="24"/>
        </w:rPr>
        <w:t xml:space="preserve"> </w:t>
      </w:r>
      <w:r w:rsidRPr="00B4523E">
        <w:rPr>
          <w:rFonts w:ascii="Book Antiqua" w:hAnsi="Book Antiqua" w:cs="Times New Roman"/>
          <w:b/>
          <w:bCs/>
          <w:color w:val="262626"/>
          <w:w w:val="110"/>
          <w:sz w:val="24"/>
          <w:szCs w:val="24"/>
        </w:rPr>
        <w:t>the</w:t>
      </w:r>
      <w:r w:rsidRPr="00B4523E">
        <w:rPr>
          <w:rFonts w:ascii="Book Antiqua" w:hAnsi="Book Antiqua" w:cs="Times New Roman"/>
          <w:b/>
          <w:bCs/>
          <w:color w:val="262626"/>
          <w:spacing w:val="-15"/>
          <w:w w:val="110"/>
          <w:sz w:val="24"/>
          <w:szCs w:val="24"/>
        </w:rPr>
        <w:t xml:space="preserve"> </w:t>
      </w:r>
      <w:r w:rsidRPr="00B4523E">
        <w:rPr>
          <w:rFonts w:ascii="Book Antiqua" w:hAnsi="Book Antiqua" w:cs="Times New Roman"/>
          <w:b/>
          <w:bCs/>
          <w:color w:val="262626"/>
          <w:w w:val="110"/>
          <w:sz w:val="24"/>
          <w:szCs w:val="24"/>
        </w:rPr>
        <w:t>District</w:t>
      </w:r>
      <w:r w:rsidRPr="00B4523E">
        <w:rPr>
          <w:rFonts w:ascii="Book Antiqua" w:hAnsi="Book Antiqua" w:cs="Times New Roman"/>
          <w:b/>
          <w:bCs/>
          <w:color w:val="262626"/>
          <w:spacing w:val="-8"/>
          <w:w w:val="110"/>
          <w:sz w:val="24"/>
          <w:szCs w:val="24"/>
        </w:rPr>
        <w:t xml:space="preserve"> </w:t>
      </w:r>
      <w:r w:rsidRPr="00B4523E">
        <w:rPr>
          <w:rFonts w:ascii="Book Antiqua" w:hAnsi="Book Antiqua" w:cs="Times New Roman"/>
          <w:b/>
          <w:bCs/>
          <w:color w:val="262626"/>
          <w:w w:val="110"/>
          <w:sz w:val="24"/>
          <w:szCs w:val="24"/>
        </w:rPr>
        <w:t>of</w:t>
      </w:r>
      <w:r w:rsidRPr="00B4523E">
        <w:rPr>
          <w:rFonts w:ascii="Book Antiqua" w:hAnsi="Book Antiqua" w:cs="Times New Roman"/>
          <w:b/>
          <w:bCs/>
          <w:color w:val="262626"/>
          <w:spacing w:val="-12"/>
          <w:w w:val="110"/>
          <w:sz w:val="24"/>
          <w:szCs w:val="24"/>
        </w:rPr>
        <w:t xml:space="preserve"> </w:t>
      </w:r>
      <w:r w:rsidR="00B4523E">
        <w:rPr>
          <w:rFonts w:ascii="Book Antiqua" w:hAnsi="Book Antiqua" w:cs="Times New Roman"/>
          <w:b/>
          <w:bCs/>
          <w:color w:val="262626"/>
          <w:w w:val="110"/>
          <w:sz w:val="24"/>
          <w:szCs w:val="24"/>
        </w:rPr>
        <w:t>Columbia</w:t>
      </w:r>
      <w:r w:rsidRPr="00B4523E">
        <w:rPr>
          <w:rFonts w:ascii="Book Antiqua" w:hAnsi="Book Antiqua" w:cs="Times New Roman"/>
          <w:b/>
          <w:bCs/>
          <w:color w:val="262626"/>
          <w:spacing w:val="56"/>
          <w:w w:val="101"/>
          <w:sz w:val="24"/>
          <w:szCs w:val="24"/>
        </w:rPr>
        <w:t xml:space="preserve"> </w:t>
      </w:r>
      <w:r w:rsidRPr="00B4523E">
        <w:rPr>
          <w:rFonts w:ascii="Book Antiqua" w:hAnsi="Book Antiqua" w:cs="Times New Roman"/>
          <w:b/>
          <w:bCs/>
          <w:color w:val="262626"/>
          <w:w w:val="110"/>
          <w:sz w:val="24"/>
          <w:szCs w:val="24"/>
        </w:rPr>
        <w:t>Ba</w:t>
      </w:r>
      <w:r w:rsidRPr="00B4523E">
        <w:rPr>
          <w:rFonts w:ascii="Book Antiqua" w:hAnsi="Book Antiqua" w:cs="Times New Roman"/>
          <w:b/>
          <w:bCs/>
          <w:color w:val="262626"/>
          <w:spacing w:val="-42"/>
          <w:w w:val="110"/>
          <w:sz w:val="24"/>
          <w:szCs w:val="24"/>
        </w:rPr>
        <w:t xml:space="preserve"> </w:t>
      </w:r>
      <w:r w:rsidRPr="00B4523E">
        <w:rPr>
          <w:rFonts w:ascii="Book Antiqua" w:hAnsi="Book Antiqua" w:cs="Times New Roman"/>
          <w:b/>
          <w:bCs/>
          <w:color w:val="262626"/>
          <w:w w:val="110"/>
          <w:sz w:val="24"/>
          <w:szCs w:val="24"/>
        </w:rPr>
        <w:t>r</w:t>
      </w:r>
      <w:r w:rsidRPr="00B4523E">
        <w:rPr>
          <w:rFonts w:ascii="Book Antiqua" w:hAnsi="Book Antiqua" w:cs="Times New Roman"/>
          <w:b/>
          <w:bCs/>
          <w:color w:val="262626"/>
          <w:spacing w:val="-11"/>
          <w:w w:val="110"/>
          <w:sz w:val="24"/>
          <w:szCs w:val="24"/>
        </w:rPr>
        <w:t xml:space="preserve"> </w:t>
      </w:r>
      <w:r w:rsidRPr="00B4523E">
        <w:rPr>
          <w:rFonts w:ascii="Book Antiqua" w:hAnsi="Book Antiqua" w:cs="Times New Roman"/>
          <w:b/>
          <w:bCs/>
          <w:color w:val="262626"/>
          <w:w w:val="110"/>
          <w:sz w:val="24"/>
          <w:szCs w:val="24"/>
        </w:rPr>
        <w:t>on</w:t>
      </w:r>
      <w:r w:rsidRPr="00B4523E">
        <w:rPr>
          <w:rFonts w:ascii="Book Antiqua" w:hAnsi="Book Antiqua" w:cs="Times New Roman"/>
          <w:b/>
          <w:bCs/>
          <w:color w:val="262626"/>
          <w:spacing w:val="-9"/>
          <w:w w:val="110"/>
          <w:sz w:val="24"/>
          <w:szCs w:val="24"/>
        </w:rPr>
        <w:t xml:space="preserve"> </w:t>
      </w:r>
      <w:r w:rsidR="00B4523E" w:rsidRPr="00B4523E">
        <w:rPr>
          <w:rFonts w:ascii="Book Antiqua" w:hAnsi="Book Antiqua" w:cs="Times New Roman"/>
          <w:b/>
          <w:bCs/>
          <w:color w:val="262626"/>
          <w:spacing w:val="-9"/>
          <w:w w:val="110"/>
          <w:sz w:val="24"/>
          <w:szCs w:val="24"/>
        </w:rPr>
        <w:t>the Revised Uniform Law on Notarial Acts Amendment Act of 2021</w:t>
      </w:r>
    </w:p>
    <w:p w14:paraId="074C5CB2" w14:textId="68ABA149" w:rsidR="0071423A" w:rsidRPr="00465580" w:rsidRDefault="004073E3" w:rsidP="00D8544A">
      <w:pPr>
        <w:pStyle w:val="BodyText"/>
        <w:spacing w:before="180" w:line="480" w:lineRule="auto"/>
        <w:ind w:left="0"/>
        <w:jc w:val="both"/>
        <w:rPr>
          <w:rFonts w:ascii="Book Antiqua" w:hAnsi="Book Antiqua" w:cs="Times New Roman"/>
          <w:color w:val="000000" w:themeColor="text1"/>
          <w:spacing w:val="11"/>
          <w:w w:val="105"/>
          <w:sz w:val="24"/>
          <w:szCs w:val="24"/>
        </w:rPr>
      </w:pPr>
      <w:bookmarkStart w:id="0" w:name="_Hlk89434436"/>
      <w:r w:rsidRPr="00465580">
        <w:rPr>
          <w:rFonts w:ascii="Book Antiqua" w:hAnsi="Book Antiqua" w:cs="Times New Roman"/>
          <w:color w:val="000000" w:themeColor="text1"/>
          <w:w w:val="105"/>
          <w:sz w:val="24"/>
          <w:szCs w:val="24"/>
        </w:rPr>
        <w:t>The</w:t>
      </w:r>
      <w:r w:rsidRPr="00465580">
        <w:rPr>
          <w:rFonts w:ascii="Book Antiqua" w:hAnsi="Book Antiqua" w:cs="Times New Roman"/>
          <w:color w:val="000000" w:themeColor="text1"/>
          <w:spacing w:val="22"/>
          <w:w w:val="105"/>
          <w:sz w:val="24"/>
          <w:szCs w:val="24"/>
        </w:rPr>
        <w:t xml:space="preserve"> </w:t>
      </w:r>
      <w:r w:rsidR="00B4523E" w:rsidRPr="00465580">
        <w:rPr>
          <w:rFonts w:ascii="Book Antiqua" w:hAnsi="Book Antiqua" w:cs="Times New Roman"/>
          <w:color w:val="000000" w:themeColor="text1"/>
          <w:w w:val="105"/>
          <w:sz w:val="24"/>
          <w:szCs w:val="24"/>
        </w:rPr>
        <w:t xml:space="preserve">Real Estate, Housing and Land Use Community </w:t>
      </w:r>
      <w:r w:rsidRPr="00465580">
        <w:rPr>
          <w:rFonts w:ascii="Book Antiqua" w:hAnsi="Book Antiqua" w:cs="Times New Roman"/>
          <w:color w:val="000000" w:themeColor="text1"/>
          <w:w w:val="105"/>
          <w:sz w:val="24"/>
          <w:szCs w:val="24"/>
        </w:rPr>
        <w:t>of</w:t>
      </w:r>
      <w:r w:rsidRPr="00465580">
        <w:rPr>
          <w:rFonts w:ascii="Book Antiqua" w:hAnsi="Book Antiqua" w:cs="Times New Roman"/>
          <w:color w:val="000000" w:themeColor="text1"/>
          <w:spacing w:val="15"/>
          <w:w w:val="105"/>
          <w:sz w:val="24"/>
          <w:szCs w:val="24"/>
        </w:rPr>
        <w:t xml:space="preserve"> </w:t>
      </w:r>
      <w:r w:rsidRPr="00465580">
        <w:rPr>
          <w:rFonts w:ascii="Book Antiqua" w:hAnsi="Book Antiqua" w:cs="Times New Roman"/>
          <w:color w:val="000000" w:themeColor="text1"/>
          <w:w w:val="105"/>
          <w:sz w:val="24"/>
          <w:szCs w:val="24"/>
        </w:rPr>
        <w:t>the</w:t>
      </w:r>
      <w:r w:rsidRPr="00465580">
        <w:rPr>
          <w:rFonts w:ascii="Book Antiqua" w:hAnsi="Book Antiqua" w:cs="Times New Roman"/>
          <w:color w:val="000000" w:themeColor="text1"/>
          <w:spacing w:val="31"/>
          <w:w w:val="105"/>
          <w:sz w:val="24"/>
          <w:szCs w:val="24"/>
        </w:rPr>
        <w:t xml:space="preserve"> </w:t>
      </w:r>
      <w:r w:rsidRPr="00465580">
        <w:rPr>
          <w:rFonts w:ascii="Book Antiqua" w:hAnsi="Book Antiqua" w:cs="Times New Roman"/>
          <w:color w:val="000000" w:themeColor="text1"/>
          <w:w w:val="105"/>
          <w:sz w:val="24"/>
          <w:szCs w:val="24"/>
        </w:rPr>
        <w:t>District</w:t>
      </w:r>
      <w:r w:rsidRPr="00465580">
        <w:rPr>
          <w:rFonts w:ascii="Book Antiqua" w:hAnsi="Book Antiqua" w:cs="Times New Roman"/>
          <w:color w:val="000000" w:themeColor="text1"/>
          <w:spacing w:val="31"/>
          <w:w w:val="105"/>
          <w:sz w:val="24"/>
          <w:szCs w:val="24"/>
        </w:rPr>
        <w:t xml:space="preserve"> </w:t>
      </w:r>
      <w:r w:rsidRPr="00465580">
        <w:rPr>
          <w:rFonts w:ascii="Book Antiqua" w:hAnsi="Book Antiqua" w:cs="Times New Roman"/>
          <w:color w:val="000000" w:themeColor="text1"/>
          <w:w w:val="105"/>
          <w:sz w:val="24"/>
          <w:szCs w:val="24"/>
        </w:rPr>
        <w:t>of</w:t>
      </w:r>
      <w:r w:rsidR="00E17B68" w:rsidRPr="00465580">
        <w:rPr>
          <w:rFonts w:ascii="Book Antiqua" w:hAnsi="Book Antiqua" w:cs="Times New Roman"/>
          <w:color w:val="000000" w:themeColor="text1"/>
          <w:w w:val="105"/>
          <w:sz w:val="24"/>
          <w:szCs w:val="24"/>
        </w:rPr>
        <w:t xml:space="preserve"> </w:t>
      </w:r>
      <w:r w:rsidR="00E17B68" w:rsidRPr="00465580">
        <w:rPr>
          <w:rFonts w:ascii="Book Antiqua" w:hAnsi="Book Antiqua" w:cs="Times New Roman"/>
          <w:color w:val="000000" w:themeColor="text1"/>
          <w:spacing w:val="27"/>
          <w:w w:val="105"/>
          <w:sz w:val="24"/>
          <w:szCs w:val="24"/>
        </w:rPr>
        <w:t>C</w:t>
      </w:r>
      <w:r w:rsidRPr="00465580">
        <w:rPr>
          <w:rFonts w:ascii="Book Antiqua" w:hAnsi="Book Antiqua" w:cs="Times New Roman"/>
          <w:color w:val="000000" w:themeColor="text1"/>
          <w:w w:val="105"/>
          <w:sz w:val="24"/>
          <w:szCs w:val="24"/>
        </w:rPr>
        <w:t>olumbia</w:t>
      </w:r>
      <w:r w:rsidR="00B4523E" w:rsidRPr="00465580">
        <w:rPr>
          <w:rFonts w:ascii="Book Antiqua" w:hAnsi="Book Antiqua" w:cs="Times New Roman"/>
          <w:color w:val="000000" w:themeColor="text1"/>
          <w:spacing w:val="28"/>
          <w:w w:val="105"/>
          <w:sz w:val="24"/>
          <w:szCs w:val="24"/>
        </w:rPr>
        <w:t xml:space="preserve"> </w:t>
      </w:r>
      <w:r w:rsidRPr="00465580">
        <w:rPr>
          <w:rFonts w:ascii="Book Antiqua" w:hAnsi="Book Antiqua" w:cs="Times New Roman"/>
          <w:color w:val="000000" w:themeColor="text1"/>
          <w:w w:val="105"/>
          <w:sz w:val="24"/>
          <w:szCs w:val="24"/>
        </w:rPr>
        <w:t>Bar</w:t>
      </w:r>
      <w:bookmarkEnd w:id="0"/>
      <w:r w:rsidRPr="00465580">
        <w:rPr>
          <w:rFonts w:ascii="Book Antiqua" w:hAnsi="Book Antiqua" w:cs="Times New Roman"/>
          <w:color w:val="000000" w:themeColor="text1"/>
          <w:spacing w:val="20"/>
          <w:w w:val="105"/>
          <w:sz w:val="24"/>
          <w:szCs w:val="24"/>
        </w:rPr>
        <w:t xml:space="preserve"> </w:t>
      </w:r>
      <w:r w:rsidRPr="00465580">
        <w:rPr>
          <w:rFonts w:ascii="Book Antiqua" w:hAnsi="Book Antiqua" w:cs="Times New Roman"/>
          <w:color w:val="000000" w:themeColor="text1"/>
          <w:w w:val="105"/>
          <w:sz w:val="24"/>
          <w:szCs w:val="24"/>
        </w:rPr>
        <w:t>(the</w:t>
      </w:r>
      <w:r w:rsidRPr="00465580">
        <w:rPr>
          <w:rFonts w:ascii="Book Antiqua" w:hAnsi="Book Antiqua" w:cs="Times New Roman"/>
          <w:color w:val="000000" w:themeColor="text1"/>
          <w:w w:val="102"/>
          <w:sz w:val="24"/>
          <w:szCs w:val="24"/>
        </w:rPr>
        <w:t xml:space="preserve"> </w:t>
      </w:r>
      <w:r w:rsidR="00465580" w:rsidRPr="00465580">
        <w:rPr>
          <w:rFonts w:ascii="Book Antiqua" w:hAnsi="Book Antiqua" w:cs="Times New Roman"/>
          <w:color w:val="000000" w:themeColor="text1"/>
          <w:spacing w:val="-3"/>
          <w:w w:val="105"/>
          <w:sz w:val="24"/>
          <w:szCs w:val="24"/>
        </w:rPr>
        <w:t>“</w:t>
      </w:r>
      <w:r w:rsidR="001C42F2" w:rsidRPr="00465580">
        <w:rPr>
          <w:rFonts w:ascii="Book Antiqua" w:hAnsi="Book Antiqua" w:cs="Times New Roman"/>
          <w:color w:val="000000" w:themeColor="text1"/>
          <w:spacing w:val="-3"/>
          <w:w w:val="105"/>
          <w:sz w:val="24"/>
          <w:szCs w:val="24"/>
        </w:rPr>
        <w:t>Community</w:t>
      </w:r>
      <w:r w:rsidR="00465580" w:rsidRPr="00465580">
        <w:rPr>
          <w:rFonts w:ascii="Book Antiqua" w:hAnsi="Book Antiqua" w:cs="Times New Roman"/>
          <w:color w:val="000000" w:themeColor="text1"/>
          <w:spacing w:val="-3"/>
          <w:w w:val="105"/>
          <w:sz w:val="24"/>
          <w:szCs w:val="24"/>
        </w:rPr>
        <w:t>”</w:t>
      </w:r>
      <w:r w:rsidRPr="00465580">
        <w:rPr>
          <w:rFonts w:ascii="Book Antiqua" w:hAnsi="Book Antiqua" w:cs="Times New Roman"/>
          <w:color w:val="000000" w:themeColor="text1"/>
          <w:spacing w:val="-4"/>
          <w:w w:val="105"/>
          <w:sz w:val="24"/>
          <w:szCs w:val="24"/>
        </w:rPr>
        <w:t>)</w:t>
      </w:r>
      <w:r w:rsidRPr="00465580">
        <w:rPr>
          <w:rFonts w:ascii="Book Antiqua" w:hAnsi="Book Antiqua" w:cs="Times New Roman"/>
          <w:color w:val="000000" w:themeColor="text1"/>
          <w:spacing w:val="25"/>
          <w:w w:val="105"/>
          <w:sz w:val="24"/>
          <w:szCs w:val="24"/>
        </w:rPr>
        <w:t xml:space="preserve"> </w:t>
      </w:r>
      <w:r w:rsidR="0071423A" w:rsidRPr="00465580">
        <w:rPr>
          <w:rFonts w:ascii="Book Antiqua" w:hAnsi="Book Antiqua" w:cs="Times New Roman"/>
          <w:color w:val="000000" w:themeColor="text1"/>
          <w:spacing w:val="3"/>
          <w:w w:val="105"/>
          <w:sz w:val="24"/>
          <w:szCs w:val="24"/>
        </w:rPr>
        <w:t>recommends that</w:t>
      </w:r>
      <w:r w:rsidRPr="00465580">
        <w:rPr>
          <w:rFonts w:ascii="Book Antiqua" w:hAnsi="Book Antiqua" w:cs="Times New Roman"/>
          <w:color w:val="000000" w:themeColor="text1"/>
          <w:spacing w:val="11"/>
          <w:w w:val="105"/>
          <w:sz w:val="24"/>
          <w:szCs w:val="24"/>
        </w:rPr>
        <w:t xml:space="preserve"> </w:t>
      </w:r>
      <w:r w:rsidR="000B21CC" w:rsidRPr="00465580">
        <w:rPr>
          <w:rFonts w:ascii="Book Antiqua" w:hAnsi="Book Antiqua" w:cs="Times New Roman"/>
          <w:color w:val="000000" w:themeColor="text1"/>
          <w:spacing w:val="11"/>
          <w:w w:val="105"/>
          <w:sz w:val="24"/>
          <w:szCs w:val="24"/>
        </w:rPr>
        <w:t>the District of Columbia Council enact Bill 24-0457 entitle</w:t>
      </w:r>
      <w:r w:rsidR="00465580" w:rsidRPr="00465580">
        <w:rPr>
          <w:rFonts w:ascii="Book Antiqua" w:hAnsi="Book Antiqua" w:cs="Times New Roman"/>
          <w:color w:val="000000" w:themeColor="text1"/>
          <w:spacing w:val="11"/>
          <w:w w:val="105"/>
          <w:sz w:val="24"/>
          <w:szCs w:val="24"/>
        </w:rPr>
        <w:t>d</w:t>
      </w:r>
      <w:r w:rsidR="000B21CC" w:rsidRPr="00465580">
        <w:rPr>
          <w:rFonts w:ascii="Book Antiqua" w:hAnsi="Book Antiqua" w:cs="Times New Roman"/>
          <w:color w:val="000000" w:themeColor="text1"/>
          <w:spacing w:val="11"/>
          <w:w w:val="105"/>
          <w:sz w:val="24"/>
          <w:szCs w:val="24"/>
        </w:rPr>
        <w:t xml:space="preserve"> the </w:t>
      </w:r>
      <w:r w:rsidR="00465580" w:rsidRPr="00465580">
        <w:rPr>
          <w:rFonts w:ascii="Book Antiqua" w:hAnsi="Book Antiqua" w:cs="Times New Roman"/>
          <w:color w:val="000000" w:themeColor="text1"/>
          <w:spacing w:val="11"/>
          <w:w w:val="105"/>
          <w:sz w:val="24"/>
          <w:szCs w:val="24"/>
        </w:rPr>
        <w:t>“</w:t>
      </w:r>
      <w:r w:rsidR="000B21CC" w:rsidRPr="00465580">
        <w:rPr>
          <w:rFonts w:ascii="Book Antiqua" w:hAnsi="Book Antiqua" w:cs="Times New Roman"/>
          <w:color w:val="000000" w:themeColor="text1"/>
          <w:spacing w:val="11"/>
          <w:w w:val="105"/>
          <w:sz w:val="24"/>
          <w:szCs w:val="24"/>
        </w:rPr>
        <w:t>Revised Uniform Law on Notarial Acts Amendment Act of 2021</w:t>
      </w:r>
      <w:r w:rsidR="00C408EA" w:rsidRPr="00465580">
        <w:rPr>
          <w:rFonts w:ascii="Book Antiqua" w:hAnsi="Book Antiqua" w:cs="Times New Roman"/>
          <w:color w:val="000000" w:themeColor="text1"/>
          <w:spacing w:val="11"/>
          <w:w w:val="105"/>
          <w:sz w:val="24"/>
          <w:szCs w:val="24"/>
        </w:rPr>
        <w:t>.</w:t>
      </w:r>
      <w:r w:rsidR="00465580" w:rsidRPr="00465580">
        <w:rPr>
          <w:rFonts w:ascii="Book Antiqua" w:hAnsi="Book Antiqua" w:cs="Times New Roman"/>
          <w:color w:val="000000" w:themeColor="text1"/>
          <w:spacing w:val="11"/>
          <w:w w:val="105"/>
          <w:sz w:val="24"/>
          <w:szCs w:val="24"/>
        </w:rPr>
        <w:t>”</w:t>
      </w:r>
      <w:r w:rsidR="00D8544A" w:rsidRPr="00465580">
        <w:rPr>
          <w:rStyle w:val="FootnoteReference"/>
          <w:rFonts w:ascii="Book Antiqua" w:hAnsi="Book Antiqua" w:cs="Times New Roman"/>
          <w:color w:val="000000" w:themeColor="text1"/>
          <w:spacing w:val="11"/>
          <w:w w:val="105"/>
          <w:sz w:val="24"/>
          <w:szCs w:val="24"/>
        </w:rPr>
        <w:footnoteReference w:id="1"/>
      </w:r>
      <w:r w:rsidR="00C408EA" w:rsidRPr="00465580">
        <w:rPr>
          <w:rFonts w:ascii="Book Antiqua" w:hAnsi="Book Antiqua" w:cs="Times New Roman"/>
          <w:color w:val="000000" w:themeColor="text1"/>
          <w:spacing w:val="11"/>
          <w:w w:val="105"/>
          <w:sz w:val="24"/>
          <w:szCs w:val="24"/>
        </w:rPr>
        <w:t xml:space="preserve"> The Community respectfully submits the following statement </w:t>
      </w:r>
      <w:r w:rsidR="00C408EA" w:rsidRPr="00465580">
        <w:rPr>
          <w:rFonts w:ascii="Book Antiqua" w:hAnsi="Book Antiqua" w:cs="Times New Roman"/>
          <w:b/>
          <w:bCs/>
          <w:color w:val="000000" w:themeColor="text1"/>
          <w:spacing w:val="11"/>
          <w:w w:val="105"/>
          <w:sz w:val="24"/>
          <w:szCs w:val="24"/>
        </w:rPr>
        <w:t>in support</w:t>
      </w:r>
      <w:r w:rsidR="00C408EA" w:rsidRPr="00465580">
        <w:rPr>
          <w:rFonts w:ascii="Book Antiqua" w:hAnsi="Book Antiqua" w:cs="Times New Roman"/>
          <w:color w:val="000000" w:themeColor="text1"/>
          <w:spacing w:val="11"/>
          <w:w w:val="105"/>
          <w:sz w:val="24"/>
          <w:szCs w:val="24"/>
        </w:rPr>
        <w:t xml:space="preserve"> of the proposed Amendment Act, which, if enacted, would </w:t>
      </w:r>
      <w:r w:rsidR="000B21CC" w:rsidRPr="00465580">
        <w:rPr>
          <w:rFonts w:ascii="Book Antiqua" w:hAnsi="Book Antiqua" w:cs="Times New Roman"/>
          <w:color w:val="000000" w:themeColor="text1"/>
          <w:spacing w:val="11"/>
          <w:w w:val="105"/>
          <w:sz w:val="24"/>
          <w:szCs w:val="24"/>
        </w:rPr>
        <w:t>authorize remote online notarization both by use of secure electronic records and by use of paper documents signed in ink, notarized, and delivered to the parties</w:t>
      </w:r>
      <w:r w:rsidR="00C408EA" w:rsidRPr="00465580">
        <w:rPr>
          <w:rStyle w:val="FootnoteReference"/>
          <w:rFonts w:ascii="Book Antiqua" w:hAnsi="Book Antiqua" w:cs="Times New Roman"/>
          <w:color w:val="000000" w:themeColor="text1"/>
          <w:spacing w:val="11"/>
          <w:w w:val="105"/>
          <w:sz w:val="24"/>
          <w:szCs w:val="24"/>
        </w:rPr>
        <w:footnoteReference w:id="2"/>
      </w:r>
      <w:r w:rsidR="000B21CC" w:rsidRPr="00465580">
        <w:rPr>
          <w:rFonts w:ascii="Book Antiqua" w:hAnsi="Book Antiqua" w:cs="Times New Roman"/>
          <w:color w:val="000000" w:themeColor="text1"/>
          <w:spacing w:val="11"/>
          <w:w w:val="105"/>
          <w:sz w:val="24"/>
          <w:szCs w:val="24"/>
        </w:rPr>
        <w:t>.</w:t>
      </w:r>
    </w:p>
    <w:p w14:paraId="0B491111" w14:textId="2D68CC74" w:rsidR="000B21CC" w:rsidRPr="00465580" w:rsidRDefault="000B21CC" w:rsidP="00D8544A">
      <w:pPr>
        <w:pStyle w:val="BodyText"/>
        <w:spacing w:before="180" w:line="480" w:lineRule="auto"/>
        <w:ind w:left="0"/>
        <w:jc w:val="both"/>
        <w:rPr>
          <w:rFonts w:ascii="Book Antiqua" w:hAnsi="Book Antiqua" w:cs="Times New Roman"/>
          <w:color w:val="000000" w:themeColor="text1"/>
          <w:spacing w:val="11"/>
          <w:w w:val="105"/>
          <w:sz w:val="24"/>
          <w:szCs w:val="24"/>
        </w:rPr>
      </w:pPr>
      <w:r w:rsidRPr="00465580">
        <w:rPr>
          <w:rFonts w:ascii="Book Antiqua" w:hAnsi="Book Antiqua" w:cs="Times New Roman"/>
          <w:color w:val="000000" w:themeColor="text1"/>
          <w:spacing w:val="11"/>
          <w:w w:val="105"/>
          <w:sz w:val="24"/>
          <w:szCs w:val="24"/>
        </w:rPr>
        <w:t>Remote online notarization (</w:t>
      </w:r>
      <w:r w:rsidR="00465580" w:rsidRP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RON</w:t>
      </w:r>
      <w:r w:rsidR="00465580" w:rsidRP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 and remote inked notarization (</w:t>
      </w:r>
      <w:r w:rsidR="00465580" w:rsidRP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RIN</w:t>
      </w:r>
      <w:r w:rsidR="00465580" w:rsidRP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 xml:space="preserve">) are of great interest to the Community. Advances in technology and robust identity-proofing processes allow notaries and the remote-signers to conduct business in a secure, convenient, and safe setting. The challenges </w:t>
      </w:r>
      <w:r w:rsidRPr="00465580">
        <w:rPr>
          <w:rFonts w:ascii="Book Antiqua" w:hAnsi="Book Antiqua" w:cs="Times New Roman"/>
          <w:color w:val="000000" w:themeColor="text1"/>
          <w:spacing w:val="11"/>
          <w:w w:val="105"/>
          <w:sz w:val="24"/>
          <w:szCs w:val="24"/>
        </w:rPr>
        <w:lastRenderedPageBreak/>
        <w:t>posed by the Covid pandemic illustrate why individuals, especially the aged and infirm, would be better served by executing notarized documents remotely, rather than have to travel to a notary</w:t>
      </w:r>
      <w:r w:rsidR="00465580">
        <w:rPr>
          <w:rFonts w:ascii="Book Antiqua" w:hAnsi="Book Antiqua" w:cs="Times New Roman"/>
          <w:color w:val="000000" w:themeColor="text1"/>
          <w:spacing w:val="11"/>
          <w:w w:val="105"/>
          <w:sz w:val="24"/>
          <w:szCs w:val="24"/>
        </w:rPr>
        <w:t>’</w:t>
      </w:r>
      <w:r w:rsidR="002F7607" w:rsidRPr="00465580">
        <w:rPr>
          <w:rFonts w:ascii="Book Antiqua" w:hAnsi="Book Antiqua" w:cs="Times New Roman"/>
          <w:color w:val="000000" w:themeColor="text1"/>
          <w:spacing w:val="11"/>
          <w:w w:val="105"/>
          <w:sz w:val="24"/>
          <w:szCs w:val="24"/>
        </w:rPr>
        <w:t>s location</w:t>
      </w:r>
      <w:r w:rsidRPr="00465580">
        <w:rPr>
          <w:rFonts w:ascii="Book Antiqua" w:hAnsi="Book Antiqua" w:cs="Times New Roman"/>
          <w:color w:val="000000" w:themeColor="text1"/>
          <w:spacing w:val="11"/>
          <w:w w:val="105"/>
          <w:sz w:val="24"/>
          <w:szCs w:val="24"/>
        </w:rPr>
        <w:t xml:space="preserve"> or settlement office.</w:t>
      </w:r>
    </w:p>
    <w:p w14:paraId="0BAE40DD" w14:textId="6798ED9C" w:rsidR="000B21CC" w:rsidRPr="00465580" w:rsidRDefault="002F7607" w:rsidP="00D8544A">
      <w:pPr>
        <w:pStyle w:val="BodyText"/>
        <w:spacing w:before="180" w:line="480" w:lineRule="auto"/>
        <w:ind w:left="0"/>
        <w:jc w:val="both"/>
        <w:rPr>
          <w:rFonts w:ascii="Book Antiqua" w:hAnsi="Book Antiqua" w:cs="Times New Roman"/>
          <w:color w:val="000000" w:themeColor="text1"/>
          <w:spacing w:val="11"/>
          <w:w w:val="105"/>
          <w:sz w:val="24"/>
          <w:szCs w:val="24"/>
        </w:rPr>
      </w:pPr>
      <w:r w:rsidRPr="00465580">
        <w:rPr>
          <w:rFonts w:ascii="Book Antiqua" w:hAnsi="Book Antiqua" w:cs="Times New Roman"/>
          <w:color w:val="000000" w:themeColor="text1"/>
          <w:spacing w:val="11"/>
          <w:w w:val="105"/>
          <w:sz w:val="24"/>
          <w:szCs w:val="24"/>
        </w:rPr>
        <w:t>The National Conference of Commissioners on Uniform State Laws has thoroughly investigated and vetted the uniform law</w:t>
      </w:r>
      <w:r w:rsid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 xml:space="preserve"> and our local District of Columbia Uniform Law Commission has carefully deliberated and </w:t>
      </w:r>
      <w:r w:rsidR="00903447" w:rsidRPr="00465580">
        <w:rPr>
          <w:rFonts w:ascii="Book Antiqua" w:hAnsi="Book Antiqua" w:cs="Times New Roman"/>
          <w:color w:val="000000" w:themeColor="text1"/>
          <w:spacing w:val="11"/>
          <w:w w:val="105"/>
          <w:sz w:val="24"/>
          <w:szCs w:val="24"/>
        </w:rPr>
        <w:t xml:space="preserve">has </w:t>
      </w:r>
      <w:r w:rsidRPr="00465580">
        <w:rPr>
          <w:rFonts w:ascii="Book Antiqua" w:hAnsi="Book Antiqua" w:cs="Times New Roman"/>
          <w:color w:val="000000" w:themeColor="text1"/>
          <w:spacing w:val="11"/>
          <w:w w:val="105"/>
          <w:sz w:val="24"/>
          <w:szCs w:val="24"/>
        </w:rPr>
        <w:t>correctly concluded that the interest of the District are best served by the Bill</w:t>
      </w:r>
      <w:r w:rsid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s enactment. We applaud the Commission</w:t>
      </w:r>
      <w:r w:rsidR="00465580">
        <w:rPr>
          <w:rFonts w:ascii="Book Antiqua" w:hAnsi="Book Antiqua" w:cs="Times New Roman"/>
          <w:color w:val="000000" w:themeColor="text1"/>
          <w:spacing w:val="11"/>
          <w:w w:val="105"/>
          <w:sz w:val="24"/>
          <w:szCs w:val="24"/>
        </w:rPr>
        <w:t>’</w:t>
      </w:r>
      <w:r w:rsidRPr="00465580">
        <w:rPr>
          <w:rFonts w:ascii="Book Antiqua" w:hAnsi="Book Antiqua" w:cs="Times New Roman"/>
          <w:color w:val="000000" w:themeColor="text1"/>
          <w:spacing w:val="11"/>
          <w:w w:val="105"/>
          <w:sz w:val="24"/>
          <w:szCs w:val="24"/>
        </w:rPr>
        <w:t xml:space="preserve">s efforts and come to the same conclusion.   Accordingly, the </w:t>
      </w:r>
      <w:r w:rsidRPr="00465580">
        <w:rPr>
          <w:rFonts w:ascii="Book Antiqua" w:hAnsi="Book Antiqua" w:cs="Times New Roman"/>
          <w:color w:val="000000" w:themeColor="text1"/>
          <w:w w:val="105"/>
          <w:sz w:val="24"/>
          <w:szCs w:val="24"/>
        </w:rPr>
        <w:t>Real Estate, Housing and Land Use Community of</w:t>
      </w:r>
      <w:r w:rsidRPr="00465580">
        <w:rPr>
          <w:rFonts w:ascii="Book Antiqua" w:hAnsi="Book Antiqua" w:cs="Times New Roman"/>
          <w:color w:val="000000" w:themeColor="text1"/>
          <w:spacing w:val="15"/>
          <w:w w:val="105"/>
          <w:sz w:val="24"/>
          <w:szCs w:val="24"/>
        </w:rPr>
        <w:t xml:space="preserve"> </w:t>
      </w:r>
      <w:r w:rsidRPr="00465580">
        <w:rPr>
          <w:rFonts w:ascii="Book Antiqua" w:hAnsi="Book Antiqua" w:cs="Times New Roman"/>
          <w:color w:val="000000" w:themeColor="text1"/>
          <w:w w:val="105"/>
          <w:sz w:val="24"/>
          <w:szCs w:val="24"/>
        </w:rPr>
        <w:t>the</w:t>
      </w:r>
      <w:r w:rsidRPr="00465580">
        <w:rPr>
          <w:rFonts w:ascii="Book Antiqua" w:hAnsi="Book Antiqua" w:cs="Times New Roman"/>
          <w:color w:val="000000" w:themeColor="text1"/>
          <w:spacing w:val="31"/>
          <w:w w:val="105"/>
          <w:sz w:val="24"/>
          <w:szCs w:val="24"/>
        </w:rPr>
        <w:t xml:space="preserve"> </w:t>
      </w:r>
      <w:r w:rsidRPr="00465580">
        <w:rPr>
          <w:rFonts w:ascii="Book Antiqua" w:hAnsi="Book Antiqua" w:cs="Times New Roman"/>
          <w:color w:val="000000" w:themeColor="text1"/>
          <w:w w:val="105"/>
          <w:sz w:val="24"/>
          <w:szCs w:val="24"/>
        </w:rPr>
        <w:t>District</w:t>
      </w:r>
      <w:r w:rsidRPr="00465580">
        <w:rPr>
          <w:rFonts w:ascii="Book Antiqua" w:hAnsi="Book Antiqua" w:cs="Times New Roman"/>
          <w:color w:val="000000" w:themeColor="text1"/>
          <w:spacing w:val="31"/>
          <w:w w:val="105"/>
          <w:sz w:val="24"/>
          <w:szCs w:val="24"/>
        </w:rPr>
        <w:t xml:space="preserve"> </w:t>
      </w:r>
      <w:r w:rsidRPr="00465580">
        <w:rPr>
          <w:rFonts w:ascii="Book Antiqua" w:hAnsi="Book Antiqua" w:cs="Times New Roman"/>
          <w:color w:val="000000" w:themeColor="text1"/>
          <w:w w:val="105"/>
          <w:sz w:val="24"/>
          <w:szCs w:val="24"/>
        </w:rPr>
        <w:t xml:space="preserve">of </w:t>
      </w:r>
      <w:r w:rsidRPr="00465580">
        <w:rPr>
          <w:rFonts w:ascii="Book Antiqua" w:hAnsi="Book Antiqua" w:cs="Times New Roman"/>
          <w:color w:val="000000" w:themeColor="text1"/>
          <w:spacing w:val="27"/>
          <w:w w:val="105"/>
          <w:sz w:val="24"/>
          <w:szCs w:val="24"/>
        </w:rPr>
        <w:t>C</w:t>
      </w:r>
      <w:r w:rsidRPr="00465580">
        <w:rPr>
          <w:rFonts w:ascii="Book Antiqua" w:hAnsi="Book Antiqua" w:cs="Times New Roman"/>
          <w:color w:val="000000" w:themeColor="text1"/>
          <w:w w:val="105"/>
          <w:sz w:val="24"/>
          <w:szCs w:val="24"/>
        </w:rPr>
        <w:t>olumbia</w:t>
      </w:r>
      <w:r w:rsidRPr="00465580">
        <w:rPr>
          <w:rFonts w:ascii="Book Antiqua" w:hAnsi="Book Antiqua" w:cs="Times New Roman"/>
          <w:color w:val="000000" w:themeColor="text1"/>
          <w:spacing w:val="28"/>
          <w:w w:val="105"/>
          <w:sz w:val="24"/>
          <w:szCs w:val="24"/>
        </w:rPr>
        <w:t xml:space="preserve"> </w:t>
      </w:r>
      <w:r w:rsidRPr="00465580">
        <w:rPr>
          <w:rFonts w:ascii="Book Antiqua" w:hAnsi="Book Antiqua" w:cs="Times New Roman"/>
          <w:color w:val="000000" w:themeColor="text1"/>
          <w:w w:val="105"/>
          <w:sz w:val="24"/>
          <w:szCs w:val="24"/>
        </w:rPr>
        <w:t xml:space="preserve">Bar supports Bill 24-0457 and encourages the District of Columbia to enact it. </w:t>
      </w:r>
    </w:p>
    <w:p w14:paraId="0D8597F0" w14:textId="71FFFCFB" w:rsidR="00440DDA" w:rsidRPr="00465580" w:rsidRDefault="004073E3" w:rsidP="00D8544A">
      <w:pPr>
        <w:pStyle w:val="BodyText"/>
        <w:spacing w:before="180" w:line="480" w:lineRule="auto"/>
        <w:ind w:left="0"/>
        <w:jc w:val="both"/>
        <w:rPr>
          <w:rFonts w:ascii="Book Antiqua" w:hAnsi="Book Antiqua" w:cs="Times New Roman"/>
          <w:color w:val="000000" w:themeColor="text1"/>
          <w:spacing w:val="4"/>
          <w:sz w:val="24"/>
          <w:szCs w:val="24"/>
        </w:rPr>
      </w:pPr>
      <w:r w:rsidRPr="00465580">
        <w:rPr>
          <w:rFonts w:ascii="Book Antiqua" w:hAnsi="Book Antiqua" w:cs="Times New Roman"/>
          <w:color w:val="000000" w:themeColor="text1"/>
          <w:sz w:val="24"/>
          <w:szCs w:val="24"/>
        </w:rPr>
        <w:t>For</w:t>
      </w:r>
      <w:r w:rsidRPr="00465580">
        <w:rPr>
          <w:rFonts w:ascii="Book Antiqua" w:hAnsi="Book Antiqua" w:cs="Times New Roman"/>
          <w:color w:val="000000" w:themeColor="text1"/>
          <w:spacing w:val="38"/>
          <w:sz w:val="24"/>
          <w:szCs w:val="24"/>
        </w:rPr>
        <w:t xml:space="preserve"> </w:t>
      </w:r>
      <w:r w:rsidRPr="00465580">
        <w:rPr>
          <w:rFonts w:ascii="Book Antiqua" w:hAnsi="Book Antiqua" w:cs="Times New Roman"/>
          <w:color w:val="000000" w:themeColor="text1"/>
          <w:sz w:val="24"/>
          <w:szCs w:val="24"/>
        </w:rPr>
        <w:t>further</w:t>
      </w:r>
      <w:r w:rsidRPr="00465580">
        <w:rPr>
          <w:rFonts w:ascii="Book Antiqua" w:hAnsi="Book Antiqua" w:cs="Times New Roman"/>
          <w:color w:val="000000" w:themeColor="text1"/>
          <w:spacing w:val="39"/>
          <w:sz w:val="24"/>
          <w:szCs w:val="24"/>
        </w:rPr>
        <w:t xml:space="preserve"> </w:t>
      </w:r>
      <w:r w:rsidRPr="00465580">
        <w:rPr>
          <w:rFonts w:ascii="Book Antiqua" w:hAnsi="Book Antiqua" w:cs="Times New Roman"/>
          <w:color w:val="000000" w:themeColor="text1"/>
          <w:sz w:val="24"/>
          <w:szCs w:val="24"/>
        </w:rPr>
        <w:t>information</w:t>
      </w:r>
      <w:r w:rsidRPr="00465580">
        <w:rPr>
          <w:rFonts w:ascii="Book Antiqua" w:hAnsi="Book Antiqua" w:cs="Times New Roman"/>
          <w:color w:val="000000" w:themeColor="text1"/>
          <w:spacing w:val="36"/>
          <w:sz w:val="24"/>
          <w:szCs w:val="24"/>
        </w:rPr>
        <w:t xml:space="preserve"> </w:t>
      </w:r>
      <w:r w:rsidRPr="00465580">
        <w:rPr>
          <w:rFonts w:ascii="Book Antiqua" w:hAnsi="Book Antiqua" w:cs="Times New Roman"/>
          <w:color w:val="000000" w:themeColor="text1"/>
          <w:sz w:val="24"/>
          <w:szCs w:val="24"/>
        </w:rPr>
        <w:t>please</w:t>
      </w:r>
      <w:r w:rsidRPr="00465580">
        <w:rPr>
          <w:rFonts w:ascii="Book Antiqua" w:hAnsi="Book Antiqua" w:cs="Times New Roman"/>
          <w:color w:val="000000" w:themeColor="text1"/>
          <w:spacing w:val="40"/>
          <w:sz w:val="24"/>
          <w:szCs w:val="24"/>
        </w:rPr>
        <w:t xml:space="preserve"> </w:t>
      </w:r>
      <w:r w:rsidRPr="00465580">
        <w:rPr>
          <w:rFonts w:ascii="Book Antiqua" w:hAnsi="Book Antiqua" w:cs="Times New Roman"/>
          <w:color w:val="000000" w:themeColor="text1"/>
          <w:sz w:val="24"/>
          <w:szCs w:val="24"/>
        </w:rPr>
        <w:t>contact:</w:t>
      </w:r>
      <w:r w:rsidRPr="00465580">
        <w:rPr>
          <w:rFonts w:ascii="Book Antiqua" w:hAnsi="Book Antiqua" w:cs="Times New Roman"/>
          <w:color w:val="000000" w:themeColor="text1"/>
          <w:spacing w:val="4"/>
          <w:sz w:val="24"/>
          <w:szCs w:val="24"/>
        </w:rPr>
        <w:t xml:space="preserve"> </w:t>
      </w:r>
      <w:r w:rsidR="001C42F2" w:rsidRPr="00465580">
        <w:rPr>
          <w:rFonts w:ascii="Book Antiqua" w:hAnsi="Book Antiqua" w:cs="Times New Roman"/>
          <w:color w:val="000000" w:themeColor="text1"/>
          <w:spacing w:val="4"/>
          <w:sz w:val="24"/>
          <w:szCs w:val="24"/>
        </w:rPr>
        <w:t>Community</w:t>
      </w:r>
      <w:r w:rsidR="00893E10" w:rsidRPr="00465580">
        <w:rPr>
          <w:rFonts w:ascii="Book Antiqua" w:hAnsi="Book Antiqua" w:cs="Times New Roman"/>
          <w:color w:val="000000" w:themeColor="text1"/>
          <w:spacing w:val="4"/>
          <w:sz w:val="24"/>
          <w:szCs w:val="24"/>
        </w:rPr>
        <w:t xml:space="preserve"> Co-Chairs, </w:t>
      </w:r>
      <w:r w:rsidR="0071423A" w:rsidRPr="00465580">
        <w:rPr>
          <w:rFonts w:ascii="Book Antiqua" w:hAnsi="Book Antiqua" w:cs="Times New Roman"/>
          <w:color w:val="000000" w:themeColor="text1"/>
          <w:spacing w:val="4"/>
          <w:sz w:val="24"/>
          <w:szCs w:val="24"/>
        </w:rPr>
        <w:t>Nathan J. Bresee</w:t>
      </w:r>
      <w:r w:rsidR="00893E10" w:rsidRPr="00465580">
        <w:rPr>
          <w:rFonts w:ascii="Book Antiqua" w:hAnsi="Book Antiqua" w:cs="Times New Roman"/>
          <w:color w:val="000000" w:themeColor="text1"/>
          <w:spacing w:val="4"/>
          <w:sz w:val="24"/>
          <w:szCs w:val="24"/>
        </w:rPr>
        <w:t>, Esq</w:t>
      </w:r>
      <w:r w:rsidR="0071423A" w:rsidRPr="00465580">
        <w:rPr>
          <w:rFonts w:ascii="Book Antiqua" w:hAnsi="Book Antiqua" w:cs="Times New Roman"/>
          <w:color w:val="000000" w:themeColor="text1"/>
          <w:spacing w:val="4"/>
          <w:sz w:val="24"/>
          <w:szCs w:val="24"/>
        </w:rPr>
        <w:t xml:space="preserve">. at </w:t>
      </w:r>
      <w:hyperlink r:id="rId7" w:history="1">
        <w:r w:rsidR="0071423A" w:rsidRPr="00465580">
          <w:rPr>
            <w:rStyle w:val="Hyperlink"/>
            <w:rFonts w:ascii="Book Antiqua" w:hAnsi="Book Antiqua" w:cs="Times New Roman"/>
            <w:color w:val="000000" w:themeColor="text1"/>
            <w:spacing w:val="4"/>
            <w:sz w:val="24"/>
            <w:szCs w:val="24"/>
            <w:u w:val="none"/>
          </w:rPr>
          <w:t>nbresee@jackscamp.com</w:t>
        </w:r>
      </w:hyperlink>
      <w:r w:rsidR="0071423A" w:rsidRPr="00465580">
        <w:rPr>
          <w:rFonts w:ascii="Book Antiqua" w:hAnsi="Book Antiqua" w:cs="Times New Roman"/>
          <w:color w:val="000000" w:themeColor="text1"/>
          <w:spacing w:val="4"/>
          <w:sz w:val="24"/>
          <w:szCs w:val="24"/>
        </w:rPr>
        <w:t xml:space="preserve"> or Shanice McClelland, Esq. at mcclellands@ballardspahr.com.</w:t>
      </w:r>
    </w:p>
    <w:p w14:paraId="260CD692" w14:textId="77777777" w:rsidR="0071423A" w:rsidRPr="00465580" w:rsidRDefault="0071423A" w:rsidP="0071423A">
      <w:pPr>
        <w:pStyle w:val="BodyText"/>
        <w:spacing w:before="180" w:line="496" w:lineRule="auto"/>
        <w:ind w:left="0" w:firstLine="727"/>
        <w:rPr>
          <w:rFonts w:ascii="Book Antiqua" w:hAnsi="Book Antiqua" w:cs="Times New Roman"/>
          <w:color w:val="000000" w:themeColor="text1"/>
          <w:spacing w:val="30"/>
          <w:w w:val="105"/>
          <w:sz w:val="24"/>
          <w:szCs w:val="24"/>
        </w:rPr>
      </w:pPr>
    </w:p>
    <w:sectPr w:rsidR="0071423A" w:rsidRPr="00465580" w:rsidSect="00B452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1815" w14:textId="77777777" w:rsidR="00CB4A9E" w:rsidRDefault="00CB4A9E" w:rsidP="009260DC">
      <w:r>
        <w:separator/>
      </w:r>
    </w:p>
  </w:endnote>
  <w:endnote w:type="continuationSeparator" w:id="0">
    <w:p w14:paraId="175A40DB" w14:textId="77777777" w:rsidR="00CB4A9E" w:rsidRDefault="00CB4A9E" w:rsidP="0092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60B8" w14:textId="77777777" w:rsidR="00953589" w:rsidRDefault="00953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2473" w14:textId="77777777" w:rsidR="00953589" w:rsidRDefault="00953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EE97" w14:textId="77777777" w:rsidR="00953589" w:rsidRDefault="0095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0EB3" w14:textId="77777777" w:rsidR="00CB4A9E" w:rsidRDefault="00CB4A9E" w:rsidP="009260DC">
      <w:r>
        <w:separator/>
      </w:r>
    </w:p>
  </w:footnote>
  <w:footnote w:type="continuationSeparator" w:id="0">
    <w:p w14:paraId="78D4E765" w14:textId="77777777" w:rsidR="00CB4A9E" w:rsidRDefault="00CB4A9E" w:rsidP="009260DC">
      <w:r>
        <w:continuationSeparator/>
      </w:r>
    </w:p>
  </w:footnote>
  <w:footnote w:id="1">
    <w:p w14:paraId="59AD5BE5" w14:textId="283F54BC" w:rsidR="00D8544A" w:rsidRPr="00D8544A" w:rsidRDefault="00D8544A" w:rsidP="00D8544A">
      <w:pPr>
        <w:pStyle w:val="FootnoteText"/>
        <w:jc w:val="both"/>
        <w:rPr>
          <w:rFonts w:ascii="Book Antiqua" w:hAnsi="Book Antiqua"/>
          <w:sz w:val="24"/>
          <w:szCs w:val="24"/>
        </w:rPr>
      </w:pPr>
      <w:r w:rsidRPr="00D8544A">
        <w:rPr>
          <w:rStyle w:val="FootnoteReference"/>
          <w:rFonts w:ascii="Book Antiqua" w:hAnsi="Book Antiqua"/>
          <w:sz w:val="24"/>
          <w:szCs w:val="24"/>
        </w:rPr>
        <w:footnoteRef/>
      </w:r>
      <w:r w:rsidRPr="00D8544A">
        <w:rPr>
          <w:rFonts w:ascii="Book Antiqua" w:hAnsi="Book Antiqua"/>
          <w:sz w:val="24"/>
          <w:szCs w:val="24"/>
        </w:rPr>
        <w:t xml:space="preserve"> This statement was approved by the Community</w:t>
      </w:r>
      <w:r w:rsidR="00465580">
        <w:rPr>
          <w:rFonts w:ascii="Book Antiqua" w:hAnsi="Book Antiqua"/>
          <w:sz w:val="24"/>
          <w:szCs w:val="24"/>
        </w:rPr>
        <w:t>’</w:t>
      </w:r>
      <w:r w:rsidRPr="00D8544A">
        <w:rPr>
          <w:rFonts w:ascii="Book Antiqua" w:hAnsi="Book Antiqua"/>
          <w:sz w:val="24"/>
          <w:szCs w:val="24"/>
        </w:rPr>
        <w:t xml:space="preserve">s Steering Committee on </w:t>
      </w:r>
      <w:r w:rsidR="00CC01E8">
        <w:rPr>
          <w:rFonts w:ascii="Book Antiqua" w:hAnsi="Book Antiqua"/>
          <w:sz w:val="24"/>
          <w:szCs w:val="24"/>
        </w:rPr>
        <w:t>December 3, 2021</w:t>
      </w:r>
      <w:r w:rsidRPr="00D8544A">
        <w:rPr>
          <w:rFonts w:ascii="Book Antiqua" w:hAnsi="Book Antiqua"/>
          <w:sz w:val="24"/>
          <w:szCs w:val="24"/>
        </w:rPr>
        <w:t>, by a unanimous vote of all five members voting in favor.</w:t>
      </w:r>
    </w:p>
  </w:footnote>
  <w:footnote w:id="2">
    <w:p w14:paraId="2F237E46" w14:textId="128961A7" w:rsidR="00C408EA" w:rsidRPr="00D8544A" w:rsidRDefault="00C408EA" w:rsidP="00D8544A">
      <w:pPr>
        <w:pStyle w:val="FootnoteText"/>
        <w:jc w:val="both"/>
        <w:rPr>
          <w:rFonts w:ascii="Book Antiqua" w:hAnsi="Book Antiqua"/>
          <w:sz w:val="24"/>
          <w:szCs w:val="24"/>
        </w:rPr>
      </w:pPr>
      <w:r w:rsidRPr="00D8544A">
        <w:rPr>
          <w:rStyle w:val="FootnoteReference"/>
          <w:rFonts w:ascii="Book Antiqua" w:hAnsi="Book Antiqua"/>
          <w:sz w:val="24"/>
          <w:szCs w:val="24"/>
        </w:rPr>
        <w:footnoteRef/>
      </w:r>
      <w:r w:rsidRPr="00D8544A">
        <w:rPr>
          <w:rFonts w:ascii="Book Antiqua" w:hAnsi="Book Antiqua"/>
          <w:sz w:val="24"/>
          <w:szCs w:val="24"/>
        </w:rPr>
        <w:t xml:space="preserve"> </w:t>
      </w:r>
      <w:r w:rsidR="00D8544A" w:rsidRPr="00D8544A">
        <w:rPr>
          <w:rFonts w:ascii="Book Antiqua" w:hAnsi="Book Antiqua"/>
          <w:sz w:val="24"/>
          <w:szCs w:val="24"/>
        </w:rPr>
        <w:t>The views expressed herein are presented on behalf of the D.C. Real Estate, Housing and Land Use Community, a voluntary association of individuals, most but not necessarily all of whom are members of the D.C. Bar. The D.C. Bar itself made no monetary contribution to fund the preparation or submission of this statement. Moreover, the views expressed herein have been neither approved nor endorsed by the D.C. Bar, its Board of Governors, or its general membership.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8E70" w14:textId="77777777" w:rsidR="00953589" w:rsidRDefault="00953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767E" w14:textId="26C3AC3C" w:rsidR="00953589" w:rsidRDefault="00953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0C1C" w14:textId="77777777" w:rsidR="00953589" w:rsidRDefault="00953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DA"/>
    <w:rsid w:val="00013707"/>
    <w:rsid w:val="000B21CC"/>
    <w:rsid w:val="001040B3"/>
    <w:rsid w:val="001C42F2"/>
    <w:rsid w:val="002F7607"/>
    <w:rsid w:val="004073E3"/>
    <w:rsid w:val="00422E61"/>
    <w:rsid w:val="00440DDA"/>
    <w:rsid w:val="00440E47"/>
    <w:rsid w:val="00465580"/>
    <w:rsid w:val="005905AB"/>
    <w:rsid w:val="005B6206"/>
    <w:rsid w:val="005E7536"/>
    <w:rsid w:val="0071423A"/>
    <w:rsid w:val="00724415"/>
    <w:rsid w:val="007A14CF"/>
    <w:rsid w:val="00893E10"/>
    <w:rsid w:val="008D7E30"/>
    <w:rsid w:val="00903447"/>
    <w:rsid w:val="009260DC"/>
    <w:rsid w:val="00953589"/>
    <w:rsid w:val="00A54F8D"/>
    <w:rsid w:val="00A91700"/>
    <w:rsid w:val="00B4523E"/>
    <w:rsid w:val="00BB0E4A"/>
    <w:rsid w:val="00C408EA"/>
    <w:rsid w:val="00CB4A9E"/>
    <w:rsid w:val="00CC01E8"/>
    <w:rsid w:val="00CD24C9"/>
    <w:rsid w:val="00D2617D"/>
    <w:rsid w:val="00D8544A"/>
    <w:rsid w:val="00DE1A14"/>
    <w:rsid w:val="00DE3478"/>
    <w:rsid w:val="00DE50A2"/>
    <w:rsid w:val="00E17B68"/>
    <w:rsid w:val="00F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948B8"/>
  <w15:docId w15:val="{7DCF423C-03E7-434A-BE5C-AD66399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firstLine="72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3E10"/>
    <w:rPr>
      <w:color w:val="0000FF" w:themeColor="hyperlink"/>
      <w:u w:val="single"/>
    </w:rPr>
  </w:style>
  <w:style w:type="character" w:styleId="UnresolvedMention">
    <w:name w:val="Unresolved Mention"/>
    <w:basedOn w:val="DefaultParagraphFont"/>
    <w:uiPriority w:val="99"/>
    <w:semiHidden/>
    <w:unhideWhenUsed/>
    <w:rsid w:val="00893E10"/>
    <w:rPr>
      <w:color w:val="605E5C"/>
      <w:shd w:val="clear" w:color="auto" w:fill="E1DFDD"/>
    </w:rPr>
  </w:style>
  <w:style w:type="paragraph" w:styleId="Revision">
    <w:name w:val="Revision"/>
    <w:hidden/>
    <w:uiPriority w:val="99"/>
    <w:semiHidden/>
    <w:rsid w:val="001C42F2"/>
    <w:pPr>
      <w:widowControl/>
    </w:pPr>
  </w:style>
  <w:style w:type="paragraph" w:styleId="EndnoteText">
    <w:name w:val="endnote text"/>
    <w:basedOn w:val="Normal"/>
    <w:link w:val="EndnoteTextChar"/>
    <w:uiPriority w:val="99"/>
    <w:semiHidden/>
    <w:unhideWhenUsed/>
    <w:rsid w:val="009260DC"/>
    <w:rPr>
      <w:sz w:val="20"/>
      <w:szCs w:val="20"/>
    </w:rPr>
  </w:style>
  <w:style w:type="character" w:customStyle="1" w:styleId="EndnoteTextChar">
    <w:name w:val="Endnote Text Char"/>
    <w:basedOn w:val="DefaultParagraphFont"/>
    <w:link w:val="EndnoteText"/>
    <w:uiPriority w:val="99"/>
    <w:semiHidden/>
    <w:rsid w:val="009260DC"/>
    <w:rPr>
      <w:sz w:val="20"/>
      <w:szCs w:val="20"/>
    </w:rPr>
  </w:style>
  <w:style w:type="character" w:styleId="EndnoteReference">
    <w:name w:val="endnote reference"/>
    <w:basedOn w:val="DefaultParagraphFont"/>
    <w:uiPriority w:val="99"/>
    <w:semiHidden/>
    <w:unhideWhenUsed/>
    <w:rsid w:val="009260DC"/>
    <w:rPr>
      <w:vertAlign w:val="superscript"/>
    </w:rPr>
  </w:style>
  <w:style w:type="paragraph" w:styleId="FootnoteText">
    <w:name w:val="footnote text"/>
    <w:basedOn w:val="Normal"/>
    <w:link w:val="FootnoteTextChar"/>
    <w:uiPriority w:val="99"/>
    <w:semiHidden/>
    <w:unhideWhenUsed/>
    <w:rsid w:val="00C408EA"/>
    <w:rPr>
      <w:sz w:val="20"/>
      <w:szCs w:val="20"/>
    </w:rPr>
  </w:style>
  <w:style w:type="character" w:customStyle="1" w:styleId="FootnoteTextChar">
    <w:name w:val="Footnote Text Char"/>
    <w:basedOn w:val="DefaultParagraphFont"/>
    <w:link w:val="FootnoteText"/>
    <w:uiPriority w:val="99"/>
    <w:semiHidden/>
    <w:rsid w:val="00C408EA"/>
    <w:rPr>
      <w:sz w:val="20"/>
      <w:szCs w:val="20"/>
    </w:rPr>
  </w:style>
  <w:style w:type="character" w:styleId="FootnoteReference">
    <w:name w:val="footnote reference"/>
    <w:basedOn w:val="DefaultParagraphFont"/>
    <w:uiPriority w:val="99"/>
    <w:semiHidden/>
    <w:unhideWhenUsed/>
    <w:rsid w:val="00C408EA"/>
    <w:rPr>
      <w:vertAlign w:val="superscript"/>
    </w:rPr>
  </w:style>
  <w:style w:type="paragraph" w:styleId="Header">
    <w:name w:val="header"/>
    <w:basedOn w:val="Normal"/>
    <w:link w:val="HeaderChar"/>
    <w:uiPriority w:val="99"/>
    <w:unhideWhenUsed/>
    <w:rsid w:val="00953589"/>
    <w:pPr>
      <w:tabs>
        <w:tab w:val="center" w:pos="4680"/>
        <w:tab w:val="right" w:pos="9360"/>
      </w:tabs>
    </w:pPr>
  </w:style>
  <w:style w:type="character" w:customStyle="1" w:styleId="HeaderChar">
    <w:name w:val="Header Char"/>
    <w:basedOn w:val="DefaultParagraphFont"/>
    <w:link w:val="Header"/>
    <w:uiPriority w:val="99"/>
    <w:rsid w:val="00953589"/>
  </w:style>
  <w:style w:type="paragraph" w:styleId="Footer">
    <w:name w:val="footer"/>
    <w:basedOn w:val="Normal"/>
    <w:link w:val="FooterChar"/>
    <w:uiPriority w:val="99"/>
    <w:unhideWhenUsed/>
    <w:rsid w:val="00953589"/>
    <w:pPr>
      <w:tabs>
        <w:tab w:val="center" w:pos="4680"/>
        <w:tab w:val="right" w:pos="9360"/>
      </w:tabs>
    </w:pPr>
  </w:style>
  <w:style w:type="character" w:customStyle="1" w:styleId="FooterChar">
    <w:name w:val="Footer Char"/>
    <w:basedOn w:val="DefaultParagraphFont"/>
    <w:link w:val="Footer"/>
    <w:uiPriority w:val="99"/>
    <w:rsid w:val="0095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8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bresee@jackscamp.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Sims</dc:creator>
  <cp:lastModifiedBy>Brittany Sims</cp:lastModifiedBy>
  <cp:revision>2</cp:revision>
  <dcterms:created xsi:type="dcterms:W3CDTF">2021-12-08T18:36:00Z</dcterms:created>
  <dcterms:modified xsi:type="dcterms:W3CDTF">2021-12-08T18:36:00Z</dcterms:modified>
</cp:coreProperties>
</file>